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Default="00A5222B" w:rsidP="00960B8A">
      <w:pPr>
        <w:rPr>
          <w:rFonts w:ascii="Arial" w:hAnsi="Arial" w:cs="Arial"/>
          <w:sz w:val="22"/>
          <w:szCs w:val="22"/>
          <w:lang w:val="es-ES"/>
        </w:rPr>
      </w:pPr>
    </w:p>
    <w:p w:rsidR="00EE46E0" w:rsidRPr="00F311DF" w:rsidRDefault="00EE46E0" w:rsidP="00960B8A">
      <w:pPr>
        <w:rPr>
          <w:rFonts w:ascii="Arial" w:hAnsi="Arial" w:cs="Arial"/>
          <w:sz w:val="22"/>
          <w:szCs w:val="22"/>
          <w:lang w:val="es-ES"/>
        </w:rPr>
      </w:pPr>
    </w:p>
    <w:p w:rsidR="00C86688" w:rsidRPr="00C86688" w:rsidRDefault="009A0D62" w:rsidP="00C86688">
      <w:pPr>
        <w:jc w:val="center"/>
        <w:rPr>
          <w:rFonts w:ascii="Arial" w:hAnsi="Arial" w:cs="Arial"/>
          <w:b/>
          <w:sz w:val="52"/>
          <w:szCs w:val="42"/>
          <w:lang w:val="es-ES"/>
        </w:rPr>
      </w:pPr>
      <w:r>
        <w:rPr>
          <w:rFonts w:ascii="Arial" w:hAnsi="Arial" w:cs="Arial"/>
          <w:b/>
          <w:sz w:val="52"/>
          <w:szCs w:val="42"/>
          <w:lang w:val="es-ES"/>
        </w:rPr>
        <w:t>FERTICOL CUAJE</w:t>
      </w:r>
    </w:p>
    <w:p w:rsidR="00BA09D6" w:rsidRDefault="00B801DD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>ABONO SÓLIDO CON EXTRACTO DE ALGAS</w:t>
      </w:r>
    </w:p>
    <w:p w:rsidR="00B801DD" w:rsidRPr="00BA09D6" w:rsidRDefault="00B801DD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>PARA APLICACIÓN FOLIAR</w:t>
      </w:r>
    </w:p>
    <w:p w:rsidR="004272FB" w:rsidRPr="00F311DF" w:rsidRDefault="004272FB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86A9D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CONTENIDO DECLARADO</w:t>
      </w:r>
      <w:r w:rsidR="00AA6322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  <w:r w:rsidR="00C61CBC">
        <w:rPr>
          <w:rFonts w:ascii="Arial" w:hAnsi="Arial" w:cs="Arial"/>
          <w:b/>
          <w:bCs/>
          <w:sz w:val="22"/>
          <w:szCs w:val="22"/>
          <w:u w:val="single"/>
          <w:lang w:val="es-ES"/>
        </w:rPr>
        <w:t>%</w:t>
      </w:r>
      <w:proofErr w:type="spellStart"/>
      <w:r w:rsidR="00C61CBC">
        <w:rPr>
          <w:rFonts w:ascii="Arial" w:hAnsi="Arial" w:cs="Arial"/>
          <w:b/>
          <w:bCs/>
          <w:sz w:val="22"/>
          <w:szCs w:val="22"/>
          <w:u w:val="single"/>
          <w:lang w:val="es-ES"/>
        </w:rPr>
        <w:t>m.m</w:t>
      </w:r>
      <w:proofErr w:type="spellEnd"/>
      <w:r w:rsidR="00BF7131"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EE46E0" w:rsidRPr="004E3B85" w:rsidRDefault="00EE46E0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proofErr w:type="spellStart"/>
      <w:r w:rsidRPr="004E3B85">
        <w:rPr>
          <w:rFonts w:ascii="Arial" w:hAnsi="Arial" w:cs="Arial"/>
          <w:bCs/>
          <w:sz w:val="22"/>
          <w:szCs w:val="22"/>
        </w:rPr>
        <w:t>Pentóxido</w:t>
      </w:r>
      <w:proofErr w:type="spellEnd"/>
      <w:r w:rsidRPr="004E3B85">
        <w:rPr>
          <w:rFonts w:ascii="Arial" w:hAnsi="Arial" w:cs="Arial"/>
          <w:bCs/>
          <w:sz w:val="22"/>
          <w:szCs w:val="22"/>
        </w:rPr>
        <w:t xml:space="preserve"> de Fósforo (P</w:t>
      </w:r>
      <w:r w:rsidRPr="004E3B85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4E3B85">
        <w:rPr>
          <w:rFonts w:ascii="Arial" w:hAnsi="Arial" w:cs="Arial"/>
          <w:bCs/>
          <w:sz w:val="22"/>
          <w:szCs w:val="22"/>
        </w:rPr>
        <w:t>O</w:t>
      </w:r>
      <w:r w:rsidRPr="004E3B85">
        <w:rPr>
          <w:rFonts w:ascii="Arial" w:hAnsi="Arial" w:cs="Arial"/>
          <w:bCs/>
          <w:sz w:val="22"/>
          <w:szCs w:val="22"/>
          <w:vertAlign w:val="subscript"/>
        </w:rPr>
        <w:t>5</w:t>
      </w:r>
      <w:r w:rsidRPr="004E3B85">
        <w:rPr>
          <w:rFonts w:ascii="Arial" w:hAnsi="Arial" w:cs="Arial"/>
          <w:bCs/>
          <w:sz w:val="22"/>
          <w:szCs w:val="22"/>
        </w:rPr>
        <w:t>) soluble en citrato</w:t>
      </w:r>
    </w:p>
    <w:p w:rsidR="00C61CBC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proofErr w:type="gramStart"/>
      <w:r w:rsidRPr="004E3B85">
        <w:rPr>
          <w:rFonts w:ascii="Arial" w:hAnsi="Arial" w:cs="Arial"/>
          <w:bCs/>
          <w:sz w:val="22"/>
          <w:szCs w:val="22"/>
        </w:rPr>
        <w:t>amónico</w:t>
      </w:r>
      <w:proofErr w:type="gramEnd"/>
      <w:r w:rsidRPr="004E3B85">
        <w:rPr>
          <w:rFonts w:ascii="Arial" w:hAnsi="Arial" w:cs="Arial"/>
          <w:bCs/>
          <w:sz w:val="22"/>
          <w:szCs w:val="22"/>
        </w:rPr>
        <w:t xml:space="preserve"> neutro y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 xml:space="preserve">25% 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Óxido de Potasio (K</w:t>
      </w:r>
      <w:r w:rsidRPr="004E3B85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4E3B85">
        <w:rPr>
          <w:rFonts w:ascii="Arial" w:hAnsi="Arial" w:cs="Arial"/>
          <w:bCs/>
          <w:sz w:val="22"/>
          <w:szCs w:val="22"/>
        </w:rPr>
        <w:t>O) soluble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32%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Boro (B) soluble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0,2%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Manganeso (Mn) soluble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0,1%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Molibdeno (Mo) soluble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0,4%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Zinc (Zn) soluble en agua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0,1%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 xml:space="preserve">Ácido </w:t>
      </w:r>
      <w:proofErr w:type="spellStart"/>
      <w:r w:rsidRPr="004E3B85">
        <w:rPr>
          <w:rFonts w:ascii="Arial" w:hAnsi="Arial" w:cs="Arial"/>
          <w:bCs/>
          <w:sz w:val="22"/>
          <w:szCs w:val="22"/>
        </w:rPr>
        <w:t>Algínico</w:t>
      </w:r>
      <w:proofErr w:type="spellEnd"/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0,8%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sz w:val="22"/>
          <w:szCs w:val="22"/>
        </w:rPr>
      </w:pPr>
      <w:r w:rsidRPr="004E3B85">
        <w:rPr>
          <w:rFonts w:ascii="Arial" w:hAnsi="Arial" w:cs="Arial"/>
          <w:bCs/>
          <w:sz w:val="22"/>
          <w:szCs w:val="22"/>
        </w:rPr>
        <w:t>Manitol</w:t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</w:r>
      <w:r w:rsidRPr="004E3B85">
        <w:rPr>
          <w:rFonts w:ascii="Arial" w:hAnsi="Arial" w:cs="Arial"/>
          <w:bCs/>
          <w:sz w:val="22"/>
          <w:szCs w:val="22"/>
        </w:rPr>
        <w:tab/>
        <w:t>0,24%</w:t>
      </w:r>
    </w:p>
    <w:p w:rsidR="00AA6322" w:rsidRDefault="00AA6322" w:rsidP="00867D18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Contenido en arsénico; &lt; 50mg/Kg</w:t>
      </w:r>
    </w:p>
    <w:p w:rsidR="00AA6322" w:rsidRPr="004E3B85" w:rsidRDefault="00AA6322" w:rsidP="00867D18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</w:p>
    <w:p w:rsidR="00833317" w:rsidRPr="001354A4" w:rsidRDefault="00867D18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</w:rPr>
        <w:t>PROPIEDADES FÍSICAS:</w:t>
      </w:r>
    </w:p>
    <w:p w:rsidR="00B50B8D" w:rsidRDefault="00B50B8D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4E3B85" w:rsidRPr="004E3B85" w:rsidRDefault="004E3B85" w:rsidP="004E3B85">
      <w:pPr>
        <w:pStyle w:val="Standard"/>
        <w:rPr>
          <w:rFonts w:ascii="Arial" w:hAnsi="Arial" w:cs="Arial"/>
          <w:color w:val="FF0000"/>
          <w:sz w:val="22"/>
          <w:szCs w:val="22"/>
        </w:rPr>
      </w:pPr>
      <w:r w:rsidRPr="004E3B85">
        <w:rPr>
          <w:rFonts w:ascii="Arial" w:hAnsi="Arial" w:cs="Arial"/>
          <w:color w:val="FF0000"/>
          <w:sz w:val="22"/>
          <w:szCs w:val="22"/>
        </w:rPr>
        <w:t xml:space="preserve">Estado: 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</w:pPr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>Densidad</w:t>
      </w:r>
      <w:proofErr w:type="gramStart"/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>:.</w:t>
      </w:r>
      <w:proofErr w:type="gramEnd"/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 xml:space="preserve"> 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</w:pPr>
      <w:proofErr w:type="gramStart"/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>pH</w:t>
      </w:r>
      <w:proofErr w:type="gramEnd"/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 xml:space="preserve">(% en agua)= </w:t>
      </w:r>
    </w:p>
    <w:p w:rsidR="004E3B85" w:rsidRPr="004E3B85" w:rsidRDefault="004E3B85" w:rsidP="004E3B85">
      <w:pPr>
        <w:pStyle w:val="Standard"/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</w:pPr>
      <w:r w:rsidRPr="004E3B85">
        <w:rPr>
          <w:rFonts w:ascii="Arial" w:hAnsi="Arial" w:cs="Arial"/>
          <w:bCs/>
          <w:iCs/>
          <w:color w:val="FF0000"/>
          <w:sz w:val="22"/>
          <w:szCs w:val="22"/>
          <w:lang w:val="es-ES_tradnl"/>
        </w:rPr>
        <w:t xml:space="preserve">Solubilidad de trabajo </w:t>
      </w:r>
    </w:p>
    <w:p w:rsidR="004E3B85" w:rsidRPr="004E3B85" w:rsidRDefault="004E3B85" w:rsidP="004E3B85">
      <w:pPr>
        <w:pStyle w:val="Standard"/>
        <w:rPr>
          <w:rFonts w:ascii="Arial" w:hAnsi="Arial" w:cs="Arial"/>
          <w:color w:val="FF0000"/>
          <w:sz w:val="22"/>
          <w:szCs w:val="22"/>
        </w:rPr>
      </w:pPr>
      <w:r w:rsidRPr="004E3B85">
        <w:rPr>
          <w:rFonts w:ascii="Arial" w:hAnsi="Arial" w:cs="Arial"/>
          <w:color w:val="FF0000"/>
          <w:sz w:val="22"/>
          <w:szCs w:val="22"/>
        </w:rPr>
        <w:t xml:space="preserve">Color: </w:t>
      </w:r>
    </w:p>
    <w:p w:rsidR="004E3B85" w:rsidRDefault="004E3B85" w:rsidP="004E3B85">
      <w:pPr>
        <w:pStyle w:val="Standard"/>
        <w:rPr>
          <w:rFonts w:ascii="Arial" w:hAnsi="Arial" w:cs="Arial"/>
          <w:color w:val="FF0000"/>
          <w:sz w:val="22"/>
          <w:szCs w:val="22"/>
        </w:rPr>
      </w:pPr>
      <w:r w:rsidRPr="004E3B85">
        <w:rPr>
          <w:rFonts w:ascii="Arial" w:hAnsi="Arial" w:cs="Arial"/>
          <w:color w:val="FF0000"/>
          <w:sz w:val="22"/>
          <w:szCs w:val="22"/>
        </w:rPr>
        <w:t>Olor: neutro</w:t>
      </w:r>
    </w:p>
    <w:p w:rsidR="00B801DD" w:rsidRPr="00AA6322" w:rsidRDefault="00B801DD" w:rsidP="00B801DD">
      <w:pPr>
        <w:pStyle w:val="Standard"/>
        <w:autoSpaceDE w:val="0"/>
        <w:rPr>
          <w:rFonts w:ascii="Arial" w:hAnsi="Arial" w:cs="Arial"/>
          <w:bCs/>
          <w:color w:val="FF0000"/>
          <w:sz w:val="22"/>
          <w:szCs w:val="22"/>
        </w:rPr>
      </w:pPr>
      <w:r w:rsidRPr="00AA6322">
        <w:rPr>
          <w:rFonts w:ascii="Arial" w:hAnsi="Arial" w:cs="Arial"/>
          <w:bCs/>
          <w:color w:val="FF0000"/>
          <w:sz w:val="22"/>
          <w:szCs w:val="22"/>
        </w:rPr>
        <w:t>Conductividad;</w:t>
      </w:r>
    </w:p>
    <w:p w:rsidR="00B801DD" w:rsidRDefault="00B801DD" w:rsidP="00B801DD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Especie de Algas; </w:t>
      </w:r>
      <w:proofErr w:type="spellStart"/>
      <w:r w:rsidRPr="00B801DD">
        <w:rPr>
          <w:rFonts w:ascii="Arial" w:hAnsi="Arial" w:cs="Arial"/>
          <w:bCs/>
          <w:i/>
          <w:sz w:val="22"/>
          <w:szCs w:val="22"/>
          <w:lang w:val="en-US"/>
        </w:rPr>
        <w:t>Ascophyllum</w:t>
      </w:r>
      <w:proofErr w:type="spellEnd"/>
      <w:r w:rsidRPr="00B801DD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B801DD">
        <w:rPr>
          <w:rFonts w:ascii="Arial" w:hAnsi="Arial" w:cs="Arial"/>
          <w:bCs/>
          <w:i/>
          <w:sz w:val="22"/>
          <w:szCs w:val="22"/>
          <w:lang w:val="en-US"/>
        </w:rPr>
        <w:t>nodosum</w:t>
      </w:r>
      <w:proofErr w:type="spellEnd"/>
    </w:p>
    <w:p w:rsidR="00E42D96" w:rsidRDefault="00E42D96" w:rsidP="004E3B85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962D11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bookmarkStart w:id="0" w:name="_GoBack"/>
      <w:bookmarkEnd w:id="0"/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DESCRIPCIÓN Y CARACTERÍSTICAS:</w:t>
      </w:r>
    </w:p>
    <w:p w:rsidR="00E42D96" w:rsidRDefault="00E42D96" w:rsidP="004E3B85">
      <w:pPr>
        <w:ind w:left="708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5A21D6" w:rsidRPr="005A21D6" w:rsidRDefault="005A21D6" w:rsidP="005A21D6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F</w:t>
      </w:r>
      <w:r w:rsidRPr="005A21D6">
        <w:rPr>
          <w:rFonts w:ascii="Arial" w:hAnsi="Arial" w:cs="Arial"/>
          <w:bCs/>
          <w:sz w:val="22"/>
          <w:szCs w:val="22"/>
          <w:lang w:val="es-ES"/>
        </w:rPr>
        <w:t>ERTICOL CUAJE es un fertilizante natural de fuerte poder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estimulante, mezcla de un extracto de algas del género </w:t>
      </w:r>
      <w:proofErr w:type="spellStart"/>
      <w:r w:rsidRPr="005A21D6">
        <w:rPr>
          <w:rFonts w:ascii="Arial" w:hAnsi="Arial" w:cs="Arial"/>
          <w:bCs/>
          <w:i/>
          <w:sz w:val="22"/>
          <w:szCs w:val="22"/>
          <w:lang w:val="es-ES"/>
        </w:rPr>
        <w:t>Ascophyllum</w:t>
      </w:r>
      <w:proofErr w:type="spellEnd"/>
      <w:r w:rsidRPr="005A21D6">
        <w:rPr>
          <w:rFonts w:ascii="Arial" w:hAnsi="Arial" w:cs="Arial"/>
          <w:bCs/>
          <w:i/>
          <w:sz w:val="22"/>
          <w:szCs w:val="22"/>
          <w:lang w:val="es-ES"/>
        </w:rPr>
        <w:t xml:space="preserve"> </w:t>
      </w:r>
      <w:proofErr w:type="spellStart"/>
      <w:r w:rsidRPr="005A21D6">
        <w:rPr>
          <w:rFonts w:ascii="Arial" w:hAnsi="Arial" w:cs="Arial"/>
          <w:bCs/>
          <w:i/>
          <w:sz w:val="22"/>
          <w:szCs w:val="22"/>
          <w:lang w:val="es-ES"/>
        </w:rPr>
        <w:t>nodosum</w:t>
      </w:r>
      <w:proofErr w:type="spellEnd"/>
      <w:r w:rsidR="00B801DD">
        <w:rPr>
          <w:rFonts w:ascii="Arial" w:hAnsi="Arial" w:cs="Arial"/>
          <w:bCs/>
          <w:sz w:val="22"/>
          <w:szCs w:val="22"/>
          <w:lang w:val="es-ES"/>
        </w:rPr>
        <w:t xml:space="preserve">, rico en </w:t>
      </w:r>
      <w:r w:rsidRPr="00B801DD">
        <w:rPr>
          <w:rFonts w:ascii="Arial" w:hAnsi="Arial" w:cs="Arial"/>
          <w:bCs/>
          <w:color w:val="FF0000"/>
          <w:sz w:val="22"/>
          <w:szCs w:val="22"/>
          <w:lang w:val="es-ES"/>
        </w:rPr>
        <w:t>péptidos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de bajo peso molecular y de rápida </w:t>
      </w:r>
      <w:r w:rsidR="009A0D62">
        <w:rPr>
          <w:rFonts w:ascii="Arial" w:hAnsi="Arial" w:cs="Arial"/>
          <w:bCs/>
          <w:sz w:val="22"/>
          <w:szCs w:val="22"/>
          <w:lang w:val="es-ES"/>
        </w:rPr>
        <w:t>a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similación. </w:t>
      </w:r>
    </w:p>
    <w:p w:rsidR="005A21D6" w:rsidRPr="005A21D6" w:rsidRDefault="005A21D6" w:rsidP="005A21D6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FERTICOL CUAJE incide directamente sobre el mensaje genético de forma que la planta sintetiza proteínas y enzimas nuevas que promueven el crecimiento y división celular, movilizando los nutrientes de las hojas, tallo y raíz hacia el fruto. Actúa como iniciador del proceso natural de engorde, cuaje y maduración del fruto</w:t>
      </w:r>
      <w:r w:rsidR="009A0D6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FA52DA">
        <w:rPr>
          <w:rFonts w:ascii="Arial" w:hAnsi="Arial" w:cs="Arial"/>
          <w:bCs/>
          <w:strike/>
          <w:sz w:val="22"/>
          <w:szCs w:val="22"/>
          <w:lang w:val="es-ES"/>
        </w:rPr>
        <w:t>sin originar la degradación de los tejidos</w:t>
      </w:r>
      <w:r w:rsidRPr="005A21D6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5A21D6" w:rsidRPr="005A21D6" w:rsidRDefault="005A21D6" w:rsidP="005A21D6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FERTICOL CUAJE</w:t>
      </w:r>
      <w:r w:rsidRPr="005A21D6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FA52DA" w:rsidRPr="00FA52DA">
        <w:rPr>
          <w:rFonts w:ascii="Arial" w:hAnsi="Arial" w:cs="Arial"/>
          <w:bCs/>
          <w:color w:val="FF0000"/>
          <w:sz w:val="22"/>
          <w:szCs w:val="22"/>
          <w:lang w:val="es-ES"/>
        </w:rPr>
        <w:t>es un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producto natural</w:t>
      </w:r>
      <w:r w:rsidR="00FA52DA">
        <w:rPr>
          <w:rFonts w:ascii="Arial" w:hAnsi="Arial" w:cs="Arial"/>
          <w:bCs/>
          <w:sz w:val="22"/>
          <w:szCs w:val="22"/>
          <w:lang w:val="es-ES"/>
        </w:rPr>
        <w:t xml:space="preserve"> y</w:t>
      </w:r>
      <w:r w:rsidRPr="00FA52DA">
        <w:rPr>
          <w:rFonts w:ascii="Arial" w:hAnsi="Arial" w:cs="Arial"/>
          <w:bCs/>
          <w:strike/>
          <w:sz w:val="22"/>
          <w:szCs w:val="22"/>
          <w:lang w:val="es-ES"/>
        </w:rPr>
        <w:t xml:space="preserve"> es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directamente asimilable por la planta actuando como nutriente y activador de las funciones metabólicas de la planta.</w:t>
      </w:r>
      <w:r w:rsidR="009A0D6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A21D6">
        <w:rPr>
          <w:rFonts w:ascii="Arial" w:hAnsi="Arial" w:cs="Arial"/>
          <w:bCs/>
          <w:sz w:val="22"/>
          <w:szCs w:val="22"/>
          <w:lang w:val="es-ES"/>
        </w:rPr>
        <w:t>Contiene también en su composición aminoácidos procedentes de</w:t>
      </w:r>
      <w:r w:rsidR="00FA52DA">
        <w:rPr>
          <w:rFonts w:ascii="Arial" w:hAnsi="Arial" w:cs="Arial"/>
          <w:bCs/>
          <w:sz w:val="22"/>
          <w:szCs w:val="22"/>
          <w:lang w:val="es-ES"/>
        </w:rPr>
        <w:t>l</w:t>
      </w:r>
      <w:r w:rsidR="009A0D6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A21D6">
        <w:rPr>
          <w:rFonts w:ascii="Arial" w:hAnsi="Arial" w:cs="Arial"/>
          <w:bCs/>
          <w:sz w:val="22"/>
          <w:szCs w:val="22"/>
          <w:lang w:val="es-ES"/>
        </w:rPr>
        <w:t>extracto de algas, que</w:t>
      </w:r>
      <w:r w:rsidR="00616A4C">
        <w:rPr>
          <w:rFonts w:ascii="Arial" w:hAnsi="Arial" w:cs="Arial"/>
          <w:bCs/>
          <w:sz w:val="22"/>
          <w:szCs w:val="22"/>
          <w:lang w:val="es-ES"/>
        </w:rPr>
        <w:t xml:space="preserve"> favorece el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FA52DA">
        <w:rPr>
          <w:rFonts w:ascii="Arial" w:hAnsi="Arial" w:cs="Arial"/>
          <w:bCs/>
          <w:strike/>
          <w:sz w:val="22"/>
          <w:szCs w:val="22"/>
          <w:lang w:val="es-ES"/>
        </w:rPr>
        <w:t>le confieren un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crecimiento vegetativo que </w:t>
      </w:r>
      <w:r w:rsidR="009A0D62">
        <w:rPr>
          <w:rFonts w:ascii="Arial" w:hAnsi="Arial" w:cs="Arial"/>
          <w:bCs/>
          <w:sz w:val="22"/>
          <w:szCs w:val="22"/>
          <w:lang w:val="es-ES"/>
        </w:rPr>
        <w:t>i</w:t>
      </w:r>
      <w:r w:rsidR="009A0D62" w:rsidRPr="005A21D6">
        <w:rPr>
          <w:rFonts w:ascii="Arial" w:hAnsi="Arial" w:cs="Arial"/>
          <w:bCs/>
          <w:sz w:val="22"/>
          <w:szCs w:val="22"/>
          <w:lang w:val="es-ES"/>
        </w:rPr>
        <w:t>ntervendrá</w:t>
      </w: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en la maduración y composición del fruto, confiriéndole</w:t>
      </w:r>
      <w:r w:rsidR="009A0D6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A21D6">
        <w:rPr>
          <w:rFonts w:ascii="Arial" w:hAnsi="Arial" w:cs="Arial"/>
          <w:bCs/>
          <w:sz w:val="22"/>
          <w:szCs w:val="22"/>
          <w:lang w:val="es-ES"/>
        </w:rPr>
        <w:t>mayor tamaño y calidad.</w:t>
      </w:r>
    </w:p>
    <w:p w:rsidR="00C91C6E" w:rsidRPr="005A21D6" w:rsidRDefault="005A21D6" w:rsidP="005A21D6">
      <w:pPr>
        <w:tabs>
          <w:tab w:val="left" w:pos="8222"/>
        </w:tabs>
        <w:ind w:left="708" w:right="-57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lastRenderedPageBreak/>
        <w:t>Por su elevado contenido en Fósforo y Potasio</w:t>
      </w:r>
      <w:r w:rsidRPr="00616A4C">
        <w:rPr>
          <w:rFonts w:ascii="Arial" w:hAnsi="Arial" w:cs="Arial"/>
          <w:bCs/>
          <w:color w:val="FF0000"/>
          <w:sz w:val="22"/>
          <w:szCs w:val="22"/>
          <w:lang w:val="es-ES"/>
        </w:rPr>
        <w:t>, favorece los procesos de formación</w:t>
      </w:r>
      <w:r w:rsidR="00616A4C" w:rsidRPr="00616A4C">
        <w:rPr>
          <w:rFonts w:ascii="Arial" w:hAnsi="Arial" w:cs="Arial"/>
          <w:bCs/>
          <w:color w:val="FF0000"/>
          <w:sz w:val="22"/>
          <w:szCs w:val="22"/>
          <w:lang w:val="es-ES"/>
        </w:rPr>
        <w:t xml:space="preserve"> del fruto</w:t>
      </w:r>
      <w:r w:rsidRPr="00616A4C">
        <w:rPr>
          <w:rFonts w:ascii="Arial" w:hAnsi="Arial" w:cs="Arial"/>
          <w:bCs/>
          <w:color w:val="FF0000"/>
          <w:sz w:val="22"/>
          <w:szCs w:val="22"/>
          <w:lang w:val="es-ES"/>
        </w:rPr>
        <w:t xml:space="preserve">, </w:t>
      </w:r>
      <w:r w:rsidR="00616A4C" w:rsidRPr="00616A4C">
        <w:rPr>
          <w:rFonts w:ascii="Arial" w:hAnsi="Arial" w:cs="Arial"/>
          <w:bCs/>
          <w:color w:val="FF0000"/>
          <w:sz w:val="22"/>
          <w:szCs w:val="22"/>
          <w:lang w:val="es-ES"/>
        </w:rPr>
        <w:t xml:space="preserve">del </w:t>
      </w:r>
      <w:r w:rsidRPr="00616A4C">
        <w:rPr>
          <w:rFonts w:ascii="Arial" w:hAnsi="Arial" w:cs="Arial"/>
          <w:bCs/>
          <w:color w:val="FF0000"/>
          <w:sz w:val="22"/>
          <w:szCs w:val="22"/>
          <w:lang w:val="es-ES"/>
        </w:rPr>
        <w:t>cuaje y engorde</w:t>
      </w:r>
      <w:r w:rsidRPr="005A21D6">
        <w:rPr>
          <w:rFonts w:ascii="Arial" w:hAnsi="Arial" w:cs="Arial"/>
          <w:bCs/>
          <w:sz w:val="22"/>
          <w:szCs w:val="22"/>
          <w:lang w:val="es-ES"/>
        </w:rPr>
        <w:t>, obteniéndose</w:t>
      </w:r>
      <w:r w:rsidR="009A0D6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5A21D6">
        <w:rPr>
          <w:rFonts w:ascii="Arial" w:hAnsi="Arial" w:cs="Arial"/>
          <w:bCs/>
          <w:sz w:val="22"/>
          <w:szCs w:val="22"/>
          <w:lang w:val="es-ES"/>
        </w:rPr>
        <w:t>cosechas en gran cantidad y de excelente calidad.</w:t>
      </w:r>
    </w:p>
    <w:p w:rsidR="00C91C6E" w:rsidRPr="00E42D96" w:rsidRDefault="00C91C6E" w:rsidP="004E3B85">
      <w:pPr>
        <w:ind w:left="708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833317" w:rsidRPr="00C91C6E" w:rsidRDefault="00833317" w:rsidP="00960B8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286A9D" w:rsidRPr="001354A4" w:rsidRDefault="00BF713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USOS RECOMENDADOS:</w:t>
      </w:r>
    </w:p>
    <w:p w:rsidR="00C86688" w:rsidRPr="00C86688" w:rsidRDefault="00A24D00" w:rsidP="006462D3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Aplicaciones foliares</w:t>
      </w:r>
    </w:p>
    <w:p w:rsidR="00C91C6E" w:rsidRPr="00C91C6E" w:rsidRDefault="00C91C6E" w:rsidP="00C91C6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02E0F" w:rsidRPr="001354A4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DOSIS Y MODO DE EMPLEO:</w:t>
      </w:r>
    </w:p>
    <w:p w:rsidR="00E42D96" w:rsidRPr="00702E0F" w:rsidRDefault="00E42D96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A24D00" w:rsidRPr="00A24D00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24D00">
        <w:rPr>
          <w:rFonts w:ascii="Arial" w:hAnsi="Arial" w:cs="Arial"/>
          <w:bCs/>
          <w:sz w:val="22"/>
          <w:szCs w:val="22"/>
          <w:lang w:val="es-ES"/>
        </w:rPr>
        <w:t>FERTICOL CUAJE está diseñado para ser utilizado en todo tipo de cultivos, principalmente en Vid, Frutales, Cítricos y en Cultivos Hortícolas.</w:t>
      </w:r>
    </w:p>
    <w:p w:rsidR="00A24D00" w:rsidRPr="00A24D00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24D00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FASE CUAJADO: 0,1% a 0,15%</w:t>
      </w:r>
    </w:p>
    <w:p w:rsidR="00A24D00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F</w:t>
      </w:r>
      <w:r w:rsidR="00CB70D3">
        <w:rPr>
          <w:rFonts w:ascii="Arial" w:hAnsi="Arial" w:cs="Arial"/>
          <w:bCs/>
          <w:sz w:val="22"/>
          <w:szCs w:val="22"/>
          <w:lang w:val="es-ES"/>
        </w:rPr>
        <w:t>ASE ENGORDE: 0,15%</w:t>
      </w:r>
      <w:r w:rsidR="00AA6322">
        <w:rPr>
          <w:rFonts w:ascii="Arial" w:hAnsi="Arial" w:cs="Arial"/>
          <w:bCs/>
          <w:sz w:val="22"/>
          <w:szCs w:val="22"/>
          <w:lang w:val="es-ES"/>
        </w:rPr>
        <w:t xml:space="preserve"> a 0,2%</w:t>
      </w:r>
    </w:p>
    <w:p w:rsidR="00A24D00" w:rsidRPr="00AA6322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A24D00" w:rsidRPr="00AA6322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A6322">
        <w:rPr>
          <w:rFonts w:ascii="Arial" w:hAnsi="Arial" w:cs="Arial"/>
          <w:bCs/>
          <w:sz w:val="22"/>
          <w:szCs w:val="22"/>
          <w:lang w:val="es-ES"/>
        </w:rPr>
        <w:t>OBSERVACIÓN:</w:t>
      </w:r>
    </w:p>
    <w:p w:rsidR="00A24D00" w:rsidRPr="00A24D00" w:rsidRDefault="00A24D00" w:rsidP="00A24D00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A24D00">
        <w:rPr>
          <w:rFonts w:ascii="Arial" w:hAnsi="Arial" w:cs="Arial"/>
          <w:bCs/>
          <w:sz w:val="22"/>
          <w:szCs w:val="22"/>
          <w:lang w:val="es-ES"/>
        </w:rPr>
        <w:t xml:space="preserve">Según el estado del cultivo, para favorecer su respuesta, es conveniente aplicar junto con: </w:t>
      </w:r>
      <w:r w:rsidRPr="00A24D00">
        <w:rPr>
          <w:rFonts w:ascii="Arial" w:hAnsi="Arial" w:cs="Arial"/>
          <w:b/>
          <w:bCs/>
          <w:sz w:val="22"/>
          <w:szCs w:val="22"/>
          <w:lang w:val="es-ES"/>
        </w:rPr>
        <w:t>TASSKAFOL 0-25-50 o FERTICOL AMINOPLUS</w:t>
      </w:r>
    </w:p>
    <w:p w:rsidR="00C86688" w:rsidRPr="00C86688" w:rsidRDefault="00C86688" w:rsidP="00702E0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525401" w:rsidRPr="001354A4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CULTIVOS:</w:t>
      </w:r>
    </w:p>
    <w:p w:rsidR="00525401" w:rsidRPr="005A21D6" w:rsidRDefault="0033069D" w:rsidP="005A21D6">
      <w:pPr>
        <w:ind w:left="708"/>
        <w:jc w:val="both"/>
        <w:rPr>
          <w:rFonts w:ascii="Arial" w:hAnsi="Arial" w:cs="Arial"/>
          <w:sz w:val="22"/>
          <w:szCs w:val="22"/>
        </w:rPr>
      </w:pPr>
      <w:r w:rsidRPr="0033069D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7" type="#_x0000_t202" style="position:absolute;left:0;text-align:left;margin-left:615.35pt;margin-top:-12.95pt;width:26.25pt;height:72.1pt;z-index:-251658752;mso-position-horizontal-relative:page" filled="f" stroked="f">
            <v:textbox style="mso-next-textbox:#docshape11" inset="0,0,0,0">
              <w:txbxContent>
                <w:p w:rsidR="005A21D6" w:rsidRDefault="005A21D6" w:rsidP="005A21D6">
                  <w:r>
                    <w:rPr>
                      <w:w w:val="121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3E101D" w:rsidRPr="005A21D6">
        <w:rPr>
          <w:rFonts w:ascii="Arial" w:hAnsi="Arial" w:cs="Arial"/>
          <w:b/>
          <w:sz w:val="22"/>
          <w:szCs w:val="22"/>
        </w:rPr>
        <w:t xml:space="preserve">FERTICOL CUAJE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esta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diseñado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para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ser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utilizado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todo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tipo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cultivos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principalmente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Vid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Frutales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Cítricos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y en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Cultivos</w:t>
      </w:r>
      <w:proofErr w:type="spellEnd"/>
      <w:r w:rsidR="003E101D" w:rsidRPr="005A2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01D" w:rsidRPr="005A21D6">
        <w:rPr>
          <w:rFonts w:ascii="Arial" w:hAnsi="Arial" w:cs="Arial"/>
          <w:sz w:val="22"/>
          <w:szCs w:val="22"/>
        </w:rPr>
        <w:t>Horticolas</w:t>
      </w:r>
      <w:proofErr w:type="spellEnd"/>
      <w:r w:rsidR="00C86688">
        <w:rPr>
          <w:rFonts w:ascii="Arial" w:hAnsi="Arial" w:cs="Arial"/>
          <w:sz w:val="22"/>
          <w:szCs w:val="22"/>
          <w:lang w:val="es-ES"/>
        </w:rPr>
        <w:t>.</w:t>
      </w:r>
      <w:proofErr w:type="gramEnd"/>
    </w:p>
    <w:p w:rsidR="00EC3381" w:rsidRPr="00EC3381" w:rsidRDefault="00EC3381" w:rsidP="005A21D6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 w:rsidRPr="00C91C6E">
        <w:rPr>
          <w:rFonts w:ascii="Arial" w:hAnsi="Arial" w:cs="Arial"/>
          <w:sz w:val="22"/>
          <w:szCs w:val="22"/>
          <w:lang w:val="es-ES"/>
        </w:rPr>
        <w:tab/>
      </w:r>
      <w:r w:rsidRPr="00EC3381">
        <w:rPr>
          <w:rFonts w:ascii="Arial" w:hAnsi="Arial" w:cs="Arial"/>
          <w:color w:val="FF0000"/>
          <w:sz w:val="22"/>
          <w:szCs w:val="22"/>
          <w:lang w:val="es-ES"/>
        </w:rPr>
        <w:t>UTILÍCESE EN CASO DE RECONOCIDA NECESIDAD</w:t>
      </w:r>
    </w:p>
    <w:p w:rsidR="00EC3381" w:rsidRDefault="00EC3381" w:rsidP="005A21D6">
      <w:pPr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 w:rsidRPr="00EC3381">
        <w:rPr>
          <w:rFonts w:ascii="Arial" w:hAnsi="Arial" w:cs="Arial"/>
          <w:color w:val="FF0000"/>
          <w:sz w:val="22"/>
          <w:szCs w:val="22"/>
          <w:lang w:val="es-ES"/>
        </w:rPr>
        <w:tab/>
        <w:t>NO SOBREPASAR LAS DOSIS ADECUADAS</w:t>
      </w:r>
    </w:p>
    <w:p w:rsidR="00406583" w:rsidRPr="00406583" w:rsidRDefault="00406583" w:rsidP="005A21D6">
      <w:pPr>
        <w:widowControl w:val="0"/>
        <w:suppressAutoHyphens w:val="0"/>
        <w:ind w:firstLine="708"/>
        <w:jc w:val="both"/>
        <w:textAlignment w:val="auto"/>
        <w:rPr>
          <w:rFonts w:ascii="Arial" w:eastAsia="OIDGPB+Arial;OIDGPB+Arial" w:hAnsi="Arial" w:cs="Arial"/>
          <w:color w:val="FF0000"/>
          <w:sz w:val="22"/>
          <w:szCs w:val="22"/>
          <w:lang w:val="es-ES"/>
        </w:rPr>
      </w:pPr>
      <w:r w:rsidRPr="00406583">
        <w:rPr>
          <w:rFonts w:ascii="Arial" w:hAnsi="Arial" w:cs="Arial"/>
          <w:bCs/>
          <w:color w:val="FF0000"/>
          <w:sz w:val="22"/>
          <w:szCs w:val="22"/>
          <w:lang w:val="es-ES"/>
        </w:rPr>
        <w:t>APLICAR BAJO ASESORAMIENTO TÉCNICO ESPECIALIZADO</w:t>
      </w:r>
    </w:p>
    <w:p w:rsidR="00525401" w:rsidRDefault="00525401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3317" w:rsidRPr="001354A4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COMPATIBILIDAD:</w:t>
      </w:r>
    </w:p>
    <w:p w:rsidR="005A21D6" w:rsidRPr="005A21D6" w:rsidRDefault="003E101D" w:rsidP="005A21D6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A21D6">
        <w:rPr>
          <w:rFonts w:ascii="Arial" w:hAnsi="Arial" w:cs="Arial"/>
          <w:b/>
          <w:bCs/>
          <w:sz w:val="22"/>
          <w:szCs w:val="22"/>
        </w:rPr>
        <w:t>FERTICOL CUAJE</w:t>
      </w:r>
      <w:r w:rsidRPr="005A21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es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compatible con la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mayoría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de los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productos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fitosanitarios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</w:t>
      </w:r>
      <w:r w:rsidRPr="005A21D6">
        <w:rPr>
          <w:rFonts w:ascii="Arial" w:hAnsi="Arial" w:cs="Arial"/>
          <w:bCs/>
          <w:i/>
          <w:sz w:val="22"/>
          <w:szCs w:val="22"/>
        </w:rPr>
        <w:t xml:space="preserve">y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nutricionales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. </w:t>
      </w:r>
      <w:proofErr w:type="gramStart"/>
      <w:r w:rsidRPr="005A21D6">
        <w:rPr>
          <w:rFonts w:ascii="Arial" w:hAnsi="Arial" w:cs="Arial"/>
          <w:bCs/>
          <w:sz w:val="22"/>
          <w:szCs w:val="22"/>
        </w:rPr>
        <w:t xml:space="preserve">E n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caso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duda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realizar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una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prueba</w:t>
      </w:r>
      <w:proofErr w:type="spellEnd"/>
      <w:r w:rsidRPr="005A21D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A21D6">
        <w:rPr>
          <w:rFonts w:ascii="Arial" w:hAnsi="Arial" w:cs="Arial"/>
          <w:bCs/>
          <w:sz w:val="22"/>
          <w:szCs w:val="22"/>
        </w:rPr>
        <w:t>previa</w:t>
      </w:r>
      <w:proofErr w:type="spellEnd"/>
      <w:r w:rsidR="005A21D6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E62FCE" w:rsidRPr="005A21D6" w:rsidRDefault="00E62FCE" w:rsidP="00C91C6E">
      <w:pPr>
        <w:jc w:val="both"/>
        <w:rPr>
          <w:rFonts w:ascii="Arial" w:hAnsi="Arial" w:cs="Arial"/>
          <w:bCs/>
          <w:sz w:val="22"/>
          <w:szCs w:val="22"/>
          <w:u w:val="single"/>
          <w:lang w:val="es-ES"/>
        </w:rPr>
      </w:pPr>
    </w:p>
    <w:p w:rsidR="00EC3381" w:rsidRPr="001354A4" w:rsidRDefault="00EC3381" w:rsidP="00EC338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ENVASES:</w:t>
      </w:r>
    </w:p>
    <w:p w:rsidR="00292F09" w:rsidRDefault="005A21D6" w:rsidP="006462D3">
      <w:pPr>
        <w:ind w:firstLine="708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color w:val="FF0000"/>
          <w:sz w:val="22"/>
          <w:szCs w:val="22"/>
          <w:lang w:val="es-ES"/>
        </w:rPr>
        <w:t>Bolsa aluminio de 1Kg y 5 K</w:t>
      </w:r>
      <w:r w:rsidR="00E42D96" w:rsidRPr="00094868">
        <w:rPr>
          <w:rFonts w:ascii="Arial" w:hAnsi="Arial" w:cs="Arial"/>
          <w:color w:val="FF0000"/>
          <w:sz w:val="22"/>
          <w:szCs w:val="22"/>
          <w:lang w:val="es-ES"/>
        </w:rPr>
        <w:t>ilos</w:t>
      </w: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CONDICIONES DE ALMACENAJE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Almacenar entre 5-35ºC en lugar seco y bien ventilado.</w:t>
      </w: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Proteger de los rayos del sol</w:t>
      </w:r>
    </w:p>
    <w:p w:rsidR="006947E9" w:rsidRPr="006947E9" w:rsidRDefault="006947E9" w:rsidP="006947E9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Agitar antes de usar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</w:p>
    <w:p w:rsidR="006947E9" w:rsidRPr="00E42D96" w:rsidRDefault="006947E9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702E0F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u w:val="single"/>
          <w:lang w:val="es-ES"/>
        </w:rPr>
        <w:t>PRECAUCIONES:</w:t>
      </w:r>
    </w:p>
    <w:p w:rsidR="00702E0F" w:rsidRPr="005A21D6" w:rsidRDefault="00702E0F" w:rsidP="005A21D6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noProof/>
          <w:sz w:val="22"/>
          <w:szCs w:val="22"/>
          <w:lang w:val="es-ES" w:eastAsia="es-ES" w:bidi="ar-SA"/>
        </w:rPr>
        <w:drawing>
          <wp:inline distT="0" distB="0" distL="0" distR="0">
            <wp:extent cx="754919" cy="754559"/>
            <wp:effectExtent l="0" t="0" r="0" b="0"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19" cy="754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  Atención</w:t>
      </w:r>
    </w:p>
    <w:p w:rsidR="00CF4CBE" w:rsidRPr="005A21D6" w:rsidRDefault="00A74D59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H319: Provoca irritación ocular grave.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lastRenderedPageBreak/>
        <w:t>H412: Nocivo para los organismos acuáticos, con efectos nocivos duraderos.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P102: Mantener fuera del alcance de los niños.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P264: </w:t>
      </w:r>
      <w:proofErr w:type="gramStart"/>
      <w:r w:rsidRPr="005A21D6">
        <w:rPr>
          <w:rFonts w:ascii="Arial" w:hAnsi="Arial" w:cs="Arial"/>
          <w:bCs/>
          <w:sz w:val="22"/>
          <w:szCs w:val="22"/>
          <w:lang w:val="es-ES"/>
        </w:rPr>
        <w:t>Lavarse ...</w:t>
      </w:r>
      <w:proofErr w:type="gramEnd"/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 concienzudamente tras la manipulación.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P270: No comer, beber ni fumar durante su utilización.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P273: Evitar su liberación al medio ambiente.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P280: Llevar guantes/ropa de protección/equipo de protección para los ojos/la cara/los oídos/...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P305+P351+P338: En caso de contacto con los ojos: Enjuagar con agua cuidadosamente durante varios minutos. Quitar las lentes de contacto cuando estén presentes y pueda hacerse con facilidad. Proseguir con el lavado.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P337+P313: Si persiste la irritación ocular: Consultar a un médico.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>P402+P403+P411: Almacenar  en un lugar seco, bien ventilado y a temperaturas no superiores a 40ºC</w:t>
      </w:r>
    </w:p>
    <w:p w:rsidR="00CF4CBE" w:rsidRPr="005A21D6" w:rsidRDefault="003E101D" w:rsidP="005A21D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5A21D6">
        <w:rPr>
          <w:rFonts w:ascii="Arial" w:hAnsi="Arial" w:cs="Arial"/>
          <w:bCs/>
          <w:sz w:val="22"/>
          <w:szCs w:val="22"/>
          <w:lang w:val="es-ES"/>
        </w:rPr>
        <w:t xml:space="preserve">P501: </w:t>
      </w:r>
      <w:r w:rsidRPr="005A21D6">
        <w:rPr>
          <w:rFonts w:ascii="Arial" w:hAnsi="Arial" w:cs="Arial"/>
          <w:bCs/>
          <w:sz w:val="22"/>
          <w:szCs w:val="22"/>
          <w:lang w:val="es-ES"/>
        </w:rPr>
        <w:tab/>
        <w:t>Eliminar el contenido o el recipiente en los lugares adecuadas para su eliminación.</w:t>
      </w:r>
    </w:p>
    <w:p w:rsidR="005A21D6" w:rsidRPr="005A21D6" w:rsidRDefault="005A21D6" w:rsidP="00702E0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sectPr w:rsidR="005A21D6" w:rsidRPr="005A21D6" w:rsidSect="000D2C0B">
      <w:headerReference w:type="default" r:id="rId9"/>
      <w:footerReference w:type="default" r:id="rId10"/>
      <w:pgSz w:w="11907" w:h="16840" w:code="9"/>
      <w:pgMar w:top="1134" w:right="1814" w:bottom="964" w:left="1928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59" w:rsidRDefault="00A74D59" w:rsidP="00CC22E4">
      <w:r>
        <w:separator/>
      </w:r>
    </w:p>
  </w:endnote>
  <w:endnote w:type="continuationSeparator" w:id="0">
    <w:p w:rsidR="00A74D59" w:rsidRDefault="00A74D59" w:rsidP="00CC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Narrow">
    <w:altName w:val="Arial Narrow"/>
    <w:charset w:val="00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IDGPB+Arial;OIDGPB+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343300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0C555B" w:rsidRPr="00A229E7" w:rsidRDefault="00EF5311" w:rsidP="00C8657D">
            <w:pPr>
              <w:pStyle w:val="Piedepgina"/>
              <w:contextualSpacing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Nota: La información contenida en esta hoja ha sido elaborada según nuestros conocimientos actuales y, s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>ó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lo</w:t>
            </w:r>
            <w:r w:rsidR="00C8657D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debe entenderse como una guía,</w:t>
            </w:r>
            <w:r w:rsidR="00C86688">
              <w:rPr>
                <w:rFonts w:ascii="Arial" w:hAnsi="Arial" w:cs="Arial"/>
                <w:sz w:val="12"/>
                <w:szCs w:val="12"/>
                <w:lang w:val="es-ES"/>
              </w:rPr>
              <w:t xml:space="preserve"> puesto que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, durante la utilización del producto pueden interferir numerosos fa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ctores externos (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mezclas, aplicación, climatología...)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. 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La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 xml:space="preserve"> empresa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garantiza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 xml:space="preserve"> la composición, formulación y contenido de sus productos</w:t>
            </w:r>
            <w:r w:rsidR="00460EDB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El usuario será re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sponsable de los daños causados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por la inobservancia total o parcial de las instrucciones de la etiqueta</w:t>
            </w:r>
            <w:r w:rsidR="000C555B" w:rsidRPr="00A229E7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A229E7" w:rsidRPr="00A229E7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szCs w:val="20"/>
                <w:lang w:val="es-ES" w:eastAsia="en-US" w:bidi="ar-SA"/>
              </w:rPr>
              <w:t xml:space="preserve"> </w:t>
            </w:r>
            <w:r w:rsidR="00A229E7" w:rsidRP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En caso de mezclas o combinaciones con otros productos, el cliente deberá realizar pruebas de compatibilidad previas</w:t>
            </w:r>
            <w:r w:rsid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.</w:t>
            </w:r>
          </w:p>
          <w:p w:rsidR="00B9499A" w:rsidRPr="00F44363" w:rsidRDefault="00B9499A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363">
              <w:rPr>
                <w:rFonts w:ascii="Arial" w:hAnsi="Arial" w:cs="Arial"/>
                <w:sz w:val="18"/>
                <w:szCs w:val="18"/>
              </w:rPr>
              <w:t>Página</w:t>
            </w:r>
            <w:proofErr w:type="spellEnd"/>
            <w:r w:rsidRPr="00F44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01DD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4436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801DD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33069D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59" w:rsidRDefault="00A74D59" w:rsidP="00CC22E4">
      <w:r>
        <w:separator/>
      </w:r>
    </w:p>
  </w:footnote>
  <w:footnote w:type="continuationSeparator" w:id="0">
    <w:p w:rsidR="00A74D59" w:rsidRDefault="00A74D59" w:rsidP="00CC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E4" w:rsidRPr="00CC22E4" w:rsidRDefault="00CC22E4" w:rsidP="00CC22E4">
    <w:pPr>
      <w:rPr>
        <w:rFonts w:ascii="Verdana" w:hAnsi="Verdana"/>
        <w:sz w:val="14"/>
        <w:lang w:val="es-ES"/>
      </w:rPr>
    </w:pPr>
    <w:r w:rsidRPr="00CC22E4">
      <w:rPr>
        <w:rFonts w:ascii="Verdana" w:hAnsi="Verdana"/>
        <w:noProof/>
        <w:sz w:val="14"/>
        <w:lang w:val="es-ES" w:eastAsia="es-ES" w:bidi="ar-SA"/>
      </w:rPr>
      <w:drawing>
        <wp:inline distT="0" distB="0" distL="0" distR="0">
          <wp:extent cx="1230688" cy="665683"/>
          <wp:effectExtent l="19050" t="0" r="7562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2541" cy="6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2FB" w:rsidRPr="00A301AF" w:rsidRDefault="00CC22E4" w:rsidP="004272FB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AGRO SAFOR SL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4272FB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CIF: B46254603</w:t>
    </w:r>
  </w:p>
  <w:p w:rsidR="00ED7D85" w:rsidRDefault="00ED7D85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 xml:space="preserve">Polígono Industrial Les </w:t>
    </w:r>
    <w:proofErr w:type="spellStart"/>
    <w:r w:rsidRPr="00A301AF">
      <w:rPr>
        <w:rFonts w:ascii="Arial" w:hAnsi="Arial" w:cs="Arial"/>
        <w:sz w:val="14"/>
        <w:lang w:val="es-ES"/>
      </w:rPr>
      <w:t>Vinyes</w:t>
    </w:r>
    <w:proofErr w:type="spellEnd"/>
    <w:r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ED7D85" w:rsidP="00CC22E4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C/ Palmera</w:t>
    </w:r>
    <w:r w:rsidR="00CC22E4" w:rsidRPr="00A301AF">
      <w:rPr>
        <w:rFonts w:ascii="Arial" w:hAnsi="Arial" w:cs="Arial"/>
        <w:sz w:val="14"/>
        <w:lang w:val="es-ES"/>
      </w:rPr>
      <w:t xml:space="preserve"> 3</w:t>
    </w:r>
    <w:r>
      <w:rPr>
        <w:rFonts w:ascii="Arial" w:hAnsi="Arial" w:cs="Arial"/>
        <w:sz w:val="14"/>
        <w:lang w:val="es-ES"/>
      </w:rPr>
      <w:t>.</w:t>
    </w:r>
    <w:r w:rsidR="00CC22E4" w:rsidRPr="00A301AF">
      <w:rPr>
        <w:rFonts w:ascii="Arial" w:hAnsi="Arial" w:cs="Arial"/>
        <w:sz w:val="14"/>
        <w:lang w:val="es-ES"/>
      </w:rPr>
      <w:t xml:space="preserve"> Miramar</w:t>
    </w:r>
    <w:r>
      <w:rPr>
        <w:rFonts w:ascii="Arial" w:hAnsi="Arial" w:cs="Arial"/>
        <w:sz w:val="14"/>
        <w:lang w:val="es-ES"/>
      </w:rPr>
      <w:t xml:space="preserve">, </w:t>
    </w:r>
    <w:r w:rsidRPr="00A301AF">
      <w:rPr>
        <w:rFonts w:ascii="Arial" w:hAnsi="Arial" w:cs="Arial"/>
        <w:sz w:val="14"/>
        <w:lang w:val="es-ES"/>
      </w:rPr>
      <w:t>46711</w:t>
    </w:r>
  </w:p>
  <w:p w:rsidR="004272FB" w:rsidRDefault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Tel: 96 280 20 87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ED7D85" w:rsidRDefault="00ED7D85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agrosafor@agrosafor.net</w:t>
    </w:r>
  </w:p>
  <w:p w:rsidR="008324E1" w:rsidRPr="008324E1" w:rsidRDefault="008324E1" w:rsidP="008324E1">
    <w:pPr>
      <w:jc w:val="right"/>
      <w:rPr>
        <w:rFonts w:ascii="Arial" w:hAnsi="Arial" w:cs="Arial"/>
        <w:b/>
        <w:sz w:val="14"/>
        <w:lang w:val="es-ES"/>
      </w:rPr>
    </w:pPr>
    <w:r w:rsidRPr="008324E1">
      <w:rPr>
        <w:rFonts w:ascii="Arial" w:hAnsi="Arial" w:cs="Arial"/>
        <w:b/>
        <w:sz w:val="14"/>
        <w:lang w:val="es-ES"/>
      </w:rPr>
      <w:t>FICHA TÉCNICA</w:t>
    </w:r>
  </w:p>
  <w:p w:rsidR="004272FB" w:rsidRPr="00F86753" w:rsidRDefault="00F86753" w:rsidP="004272FB">
    <w:pPr>
      <w:jc w:val="right"/>
      <w:rPr>
        <w:rFonts w:ascii="Arial" w:hAnsi="Arial" w:cs="Arial"/>
        <w:lang w:val="es-ES"/>
      </w:rPr>
    </w:pPr>
    <w:r>
      <w:rPr>
        <w:rFonts w:ascii="Arial" w:hAnsi="Arial" w:cs="Arial"/>
        <w:sz w:val="14"/>
        <w:lang w:val="es-ES"/>
      </w:rPr>
      <w:t xml:space="preserve">Revisión; </w:t>
    </w:r>
    <w:r w:rsidR="004272FB" w:rsidRPr="00A301AF">
      <w:rPr>
        <w:rFonts w:ascii="Arial" w:hAnsi="Arial" w:cs="Arial"/>
        <w:sz w:val="14"/>
        <w:lang w:val="es-ES"/>
      </w:rPr>
      <w:t>Febrero de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163"/>
    <w:multiLevelType w:val="multilevel"/>
    <w:tmpl w:val="BB1CA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584B052C"/>
    <w:multiLevelType w:val="multilevel"/>
    <w:tmpl w:val="317CC6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6A9D"/>
    <w:rsid w:val="00094868"/>
    <w:rsid w:val="000B4D50"/>
    <w:rsid w:val="000C2488"/>
    <w:rsid w:val="000C555B"/>
    <w:rsid w:val="000D2C0B"/>
    <w:rsid w:val="001070D5"/>
    <w:rsid w:val="00116A46"/>
    <w:rsid w:val="001354A4"/>
    <w:rsid w:val="001678A1"/>
    <w:rsid w:val="0020238D"/>
    <w:rsid w:val="00233C0E"/>
    <w:rsid w:val="00286A9D"/>
    <w:rsid w:val="00292F09"/>
    <w:rsid w:val="002C6405"/>
    <w:rsid w:val="002F1B42"/>
    <w:rsid w:val="002F4C69"/>
    <w:rsid w:val="00303970"/>
    <w:rsid w:val="00304A6F"/>
    <w:rsid w:val="0033069D"/>
    <w:rsid w:val="003706DD"/>
    <w:rsid w:val="003E101D"/>
    <w:rsid w:val="00406583"/>
    <w:rsid w:val="00412D9F"/>
    <w:rsid w:val="004272FB"/>
    <w:rsid w:val="004376B0"/>
    <w:rsid w:val="00440414"/>
    <w:rsid w:val="00453B25"/>
    <w:rsid w:val="00460EDB"/>
    <w:rsid w:val="004A349F"/>
    <w:rsid w:val="004E3B85"/>
    <w:rsid w:val="004F129A"/>
    <w:rsid w:val="00520C3E"/>
    <w:rsid w:val="00525401"/>
    <w:rsid w:val="00543D23"/>
    <w:rsid w:val="005645D0"/>
    <w:rsid w:val="0057448F"/>
    <w:rsid w:val="0057773A"/>
    <w:rsid w:val="005A21D6"/>
    <w:rsid w:val="005E0128"/>
    <w:rsid w:val="005E72AD"/>
    <w:rsid w:val="00616A4C"/>
    <w:rsid w:val="00631541"/>
    <w:rsid w:val="006462D3"/>
    <w:rsid w:val="00693111"/>
    <w:rsid w:val="006947E9"/>
    <w:rsid w:val="006D56E5"/>
    <w:rsid w:val="006F2CA8"/>
    <w:rsid w:val="006F42D7"/>
    <w:rsid w:val="00702E0F"/>
    <w:rsid w:val="007115E2"/>
    <w:rsid w:val="00722DD9"/>
    <w:rsid w:val="00750F45"/>
    <w:rsid w:val="00782E10"/>
    <w:rsid w:val="007F12B7"/>
    <w:rsid w:val="008324E1"/>
    <w:rsid w:val="00833317"/>
    <w:rsid w:val="0083737A"/>
    <w:rsid w:val="00867D18"/>
    <w:rsid w:val="00886D7B"/>
    <w:rsid w:val="008C14BB"/>
    <w:rsid w:val="00930287"/>
    <w:rsid w:val="00930D37"/>
    <w:rsid w:val="00942C60"/>
    <w:rsid w:val="00960B8A"/>
    <w:rsid w:val="00962D11"/>
    <w:rsid w:val="009872B4"/>
    <w:rsid w:val="009A0D62"/>
    <w:rsid w:val="009B45FB"/>
    <w:rsid w:val="00A159D5"/>
    <w:rsid w:val="00A229E7"/>
    <w:rsid w:val="00A24D00"/>
    <w:rsid w:val="00A301AF"/>
    <w:rsid w:val="00A5222B"/>
    <w:rsid w:val="00A74D59"/>
    <w:rsid w:val="00A7697D"/>
    <w:rsid w:val="00AA6322"/>
    <w:rsid w:val="00B009B6"/>
    <w:rsid w:val="00B2228E"/>
    <w:rsid w:val="00B331AE"/>
    <w:rsid w:val="00B34E21"/>
    <w:rsid w:val="00B50B8D"/>
    <w:rsid w:val="00B801DD"/>
    <w:rsid w:val="00B9499A"/>
    <w:rsid w:val="00BA09D6"/>
    <w:rsid w:val="00BD6FB8"/>
    <w:rsid w:val="00BF7131"/>
    <w:rsid w:val="00C61CBC"/>
    <w:rsid w:val="00C85369"/>
    <w:rsid w:val="00C8657D"/>
    <w:rsid w:val="00C86688"/>
    <w:rsid w:val="00C91C6E"/>
    <w:rsid w:val="00CB70D3"/>
    <w:rsid w:val="00CC22E4"/>
    <w:rsid w:val="00D93CF2"/>
    <w:rsid w:val="00DB5E9E"/>
    <w:rsid w:val="00DE5331"/>
    <w:rsid w:val="00E42D96"/>
    <w:rsid w:val="00E56E78"/>
    <w:rsid w:val="00E62FCE"/>
    <w:rsid w:val="00EA6F3F"/>
    <w:rsid w:val="00EC2AAE"/>
    <w:rsid w:val="00EC3381"/>
    <w:rsid w:val="00ED7D85"/>
    <w:rsid w:val="00EE46E0"/>
    <w:rsid w:val="00EF5311"/>
    <w:rsid w:val="00F01D6D"/>
    <w:rsid w:val="00F311DF"/>
    <w:rsid w:val="00F44363"/>
    <w:rsid w:val="00F5684A"/>
    <w:rsid w:val="00F86753"/>
    <w:rsid w:val="00F92031"/>
    <w:rsid w:val="00FA52DA"/>
    <w:rsid w:val="00FC7EF0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B6"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qFormat/>
    <w:rsid w:val="00440414"/>
    <w:rPr>
      <w:rFonts w:ascii="Times New Roman" w:eastAsia="MS Mincho" w:hAnsi="Times New Roman" w:cs="Times New Roman"/>
      <w:lang w:val="es-ES_tradnl" w:eastAsia="es-ES"/>
    </w:rPr>
  </w:style>
  <w:style w:type="character" w:customStyle="1" w:styleId="Textoindependiente2Car">
    <w:name w:val="Texto independiente 2 Car"/>
    <w:basedOn w:val="Fuentedeprrafopredeter"/>
    <w:qFormat/>
    <w:rsid w:val="00440414"/>
    <w:rPr>
      <w:rFonts w:ascii="Times New Roman" w:eastAsia="MS Mincho" w:hAnsi="Times New Roman" w:cs="Times New Roman"/>
    </w:rPr>
  </w:style>
  <w:style w:type="paragraph" w:customStyle="1" w:styleId="LO-Normal">
    <w:name w:val="LO-Normal"/>
    <w:qFormat/>
    <w:rsid w:val="00440414"/>
    <w:pPr>
      <w:widowControl w:val="0"/>
      <w:suppressAutoHyphens/>
    </w:pPr>
  </w:style>
  <w:style w:type="paragraph" w:customStyle="1" w:styleId="Ttulo1">
    <w:name w:val="Título1"/>
    <w:basedOn w:val="Normal"/>
    <w:next w:val="Textoindependiente"/>
    <w:qFormat/>
    <w:rsid w:val="004404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440414"/>
    <w:pPr>
      <w:spacing w:after="120"/>
    </w:pPr>
  </w:style>
  <w:style w:type="paragraph" w:styleId="Lista">
    <w:name w:val="List"/>
    <w:basedOn w:val="Textoindependiente"/>
    <w:rsid w:val="00440414"/>
  </w:style>
  <w:style w:type="paragraph" w:styleId="Epgrafe">
    <w:name w:val="caption"/>
    <w:basedOn w:val="Normal"/>
    <w:qFormat/>
    <w:rsid w:val="0044041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40414"/>
    <w:pPr>
      <w:suppressLineNumbers/>
    </w:pPr>
  </w:style>
  <w:style w:type="paragraph" w:customStyle="1" w:styleId="DocumentMap">
    <w:name w:val="DocumentMap"/>
    <w:qFormat/>
    <w:rsid w:val="00440414"/>
    <w:pPr>
      <w:textAlignment w:val="auto"/>
    </w:pPr>
    <w:rPr>
      <w:rFonts w:ascii="Calibri" w:eastAsia="Calibri" w:hAnsi="Calibri" w:cs="Times New Roman"/>
      <w:sz w:val="20"/>
      <w:szCs w:val="20"/>
      <w:lang w:val="es-ES" w:eastAsia="es-ES" w:bidi="ar-SA"/>
    </w:rPr>
  </w:style>
  <w:style w:type="paragraph" w:styleId="Textoindependiente3">
    <w:name w:val="Body Text 3"/>
    <w:qFormat/>
    <w:rsid w:val="00440414"/>
    <w:pPr>
      <w:spacing w:after="120"/>
      <w:ind w:left="283"/>
      <w:textAlignment w:val="auto"/>
    </w:pPr>
    <w:rPr>
      <w:rFonts w:eastAsia="MS Mincho" w:cs="Times New Roman"/>
      <w:sz w:val="20"/>
      <w:szCs w:val="20"/>
      <w:lang w:val="es-ES_tradnl" w:eastAsia="es-ES" w:bidi="ar-SA"/>
    </w:rPr>
  </w:style>
  <w:style w:type="paragraph" w:styleId="Textoindependiente2">
    <w:name w:val="Body Text 2"/>
    <w:basedOn w:val="Normal"/>
    <w:qFormat/>
    <w:rsid w:val="00440414"/>
    <w:pPr>
      <w:spacing w:after="120" w:line="480" w:lineRule="auto"/>
      <w:textAlignment w:val="auto"/>
    </w:pPr>
    <w:rPr>
      <w:rFonts w:eastAsia="MS Mincho" w:cs="Times New Roman"/>
      <w:sz w:val="20"/>
      <w:szCs w:val="2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22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22B"/>
    <w:rPr>
      <w:rFonts w:ascii="Tahoma" w:hAnsi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C22E4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2E4"/>
    <w:rPr>
      <w:szCs w:val="21"/>
    </w:rPr>
  </w:style>
  <w:style w:type="paragraph" w:customStyle="1" w:styleId="Standard">
    <w:name w:val="Standard"/>
    <w:rsid w:val="00867D18"/>
    <w:pPr>
      <w:widowControl w:val="0"/>
      <w:suppressAutoHyphens/>
      <w:autoSpaceDN w:val="0"/>
    </w:pPr>
    <w:rPr>
      <w:rFonts w:cs="Lucida Sans"/>
      <w:kern w:val="3"/>
      <w:lang w:val="es-ES"/>
    </w:rPr>
  </w:style>
  <w:style w:type="table" w:styleId="Sombreadomedio2-nfasis2">
    <w:name w:val="Medium Shading 2 Accent 2"/>
    <w:basedOn w:val="Tablanormal"/>
    <w:uiPriority w:val="64"/>
    <w:rsid w:val="00EF53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5311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311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EF5311"/>
    <w:rPr>
      <w:vertAlign w:val="superscript"/>
    </w:rPr>
  </w:style>
  <w:style w:type="paragraph" w:customStyle="1" w:styleId="tablatitle">
    <w:name w:val="tabla_title"/>
    <w:basedOn w:val="Normal"/>
    <w:qFormat/>
    <w:rsid w:val="00E42D96"/>
    <w:pPr>
      <w:suppressAutoHyphens w:val="0"/>
      <w:textAlignment w:val="auto"/>
    </w:pPr>
    <w:rPr>
      <w:rFonts w:ascii="PT Sans Narrow" w:eastAsia="Times New Roman" w:hAnsi="PT Sans Narrow" w:cs="Times New Roman"/>
      <w:b/>
      <w:color w:val="FFFFFF" w:themeColor="background1"/>
      <w:kern w:val="0"/>
      <w:szCs w:val="22"/>
      <w:lang w:val="es-ES" w:eastAsia="es-ES" w:bidi="ar-SA"/>
    </w:rPr>
  </w:style>
  <w:style w:type="paragraph" w:customStyle="1" w:styleId="tabla">
    <w:name w:val="tabla"/>
    <w:basedOn w:val="Normal"/>
    <w:qFormat/>
    <w:rsid w:val="00E42D96"/>
    <w:pPr>
      <w:suppressAutoHyphens w:val="0"/>
      <w:textAlignment w:val="auto"/>
    </w:pPr>
    <w:rPr>
      <w:rFonts w:ascii="Verdana" w:eastAsia="Times New Roman" w:hAnsi="Verdana" w:cs="Times New Roman"/>
      <w:bCs/>
      <w:color w:val="000000" w:themeColor="text1"/>
      <w:kern w:val="0"/>
      <w:sz w:val="18"/>
      <w:szCs w:val="22"/>
      <w:lang w:val="es-ES" w:eastAsia="es-ES" w:bidi="ar-SA"/>
    </w:rPr>
  </w:style>
  <w:style w:type="table" w:customStyle="1" w:styleId="deretiltabla">
    <w:name w:val="deretil_tabla"/>
    <w:basedOn w:val="Tablanormal"/>
    <w:uiPriority w:val="99"/>
    <w:qFormat/>
    <w:rsid w:val="00E42D96"/>
    <w:pPr>
      <w:textAlignment w:val="auto"/>
    </w:pPr>
    <w:rPr>
      <w:rFonts w:ascii="Verdana" w:eastAsiaTheme="minorHAnsi" w:hAnsi="Verdana" w:cstheme="minorBidi"/>
      <w:kern w:val="0"/>
      <w:sz w:val="22"/>
      <w:szCs w:val="22"/>
      <w:lang w:val="es-ES_tradnl" w:eastAsia="en-US" w:bidi="ar-SA"/>
    </w:rPr>
    <w:tblPr>
      <w:tblStyleRowBandSize w:val="1"/>
      <w:tblStyleColBandSize w:val="1"/>
      <w:tblInd w:w="0" w:type="dxa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</w:tcPr>
    <w:tblStylePr w:type="firstRow">
      <w:rPr>
        <w:rFonts w:ascii="PT Sans" w:hAnsi="PT Sans"/>
      </w:rPr>
      <w:tblPr/>
      <w:tcPr>
        <w:tcBorders>
          <w:top w:val="nil"/>
          <w:left w:val="nil"/>
          <w:bottom w:val="nil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C555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64CE-F667-4D24-83C6-0474B660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TotuWare Team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AGROSAFOR</dc:creator>
  <cp:lastModifiedBy>Beatriz Pérez Martí</cp:lastModifiedBy>
  <cp:revision>4</cp:revision>
  <cp:lastPrinted>2016-06-10T14:42:00Z</cp:lastPrinted>
  <dcterms:created xsi:type="dcterms:W3CDTF">2022-03-08T18:41:00Z</dcterms:created>
  <dcterms:modified xsi:type="dcterms:W3CDTF">2022-03-08T19:44:00Z</dcterms:modified>
  <dc:language>es-ES</dc:language>
</cp:coreProperties>
</file>